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</w:rPr>
        <w:t>Language for Kill Devil Core-Hour Charges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  <w:t xml:space="preserve">The Research Computing division of Information Technology Services delivers a 772 node (9152 core) Dell Linux cluster, “Kill Devil,” with QDR Infiniband interconnect and a minimum of 4 GB memory per core; a smaller 2300-core HP Linux cluster with QDR Infiniband interconnect and at least 6GB of memory per core; and two 32-core hosts with one terabyte of memory each to accommodate codes that require extremely large amounts of RAM.  The Kill Devil Cluster also includes 64 NVidia Tesla GPUs (M2070). </w:t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  <w:t>UNC-Chapel Hill recognizes that computational research varies with respect to its data and processing demands, and also with respect to the need to compute, modify theories/codes, re-compute, etc..  UNC-Chapel Hill is also committed to providing a base computational resource both to help build research programs, to extend the value of extramural contracts/grants/awards, and to help sustain programs.  The university acknowledges, too, that some projects may take weeks to realize, some may take decades to realize.  Scientific problems are not one-sized; therefore, computational demands are not one-sized.</w:t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  <w:t xml:space="preserve">Accordingly, the university supports UNC-Chapel Hill investigators with direct investment for computational cores: (i) by delivering a free annual allocation of 200,000 core-hours at no cost to each investigator; (ii) for annual consumption above the free allocation, by covering a portion of the cost of the investigator’s core-hours, passing on only $.005 per core-hour (a half-cent per core-hour).  The value of UNC-Chapel Hill’s investment is intended to cover at least 70% of the total cost of owning and operating the computational cores resource.   </w:t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  <w:t xml:space="preserve">The free allocation and charge for additional core-hours is reviewed on an annual basis.  The additional core-hour charge is a </w:t>
      </w:r>
      <w:r>
        <w:rPr>
          <w:rFonts w:ascii="Times New Roman" w:cs="Times New Roman" w:hAnsi="Times New Roman"/>
          <w:color w:val="262626"/>
          <w:sz w:val="22"/>
          <w:szCs w:val="22"/>
        </w:rPr>
        <w:t>standardized institutional use ch</w:t>
      </w:r>
      <w:bookmarkStart w:id="0" w:name="_GoBack"/>
      <w:bookmarkEnd w:id="0"/>
      <w:r>
        <w:rPr>
          <w:rFonts w:ascii="Times New Roman" w:cs="Times New Roman" w:hAnsi="Times New Roman"/>
          <w:color w:val="262626"/>
          <w:sz w:val="22"/>
          <w:szCs w:val="22"/>
        </w:rPr>
        <w:t>arge for high performance computing use: it has been developed by an official university committee and in accordance with approved recharge center policies.</w:t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mbria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Garamond" w:cs="" w:eastAsia="DejaVu Sans" w:hAnsi="Garamond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Devanagar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2013-11-04T14:35:00.00Z</dcterms:created>
  <dc:creator>Mike  Barker</dc:creator>
  <cp:lastModifiedBy>Mike  Barker</cp:lastModifiedBy>
  <dcterms:modified xsi:type="dcterms:W3CDTF">2013-11-04T14:35:00.00Z</dcterms:modified>
  <cp:revision>2</cp:revision>
</cp:coreProperties>
</file>